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F57384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Nemesgörzsöny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</w:t>
      </w: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D2014">
        <w:rPr>
          <w:rFonts w:ascii="Times New Roman" w:hAnsi="Times New Roman" w:cs="Times New Roman"/>
          <w:b/>
          <w:sz w:val="28"/>
          <w:szCs w:val="28"/>
        </w:rPr>
        <w:t xml:space="preserve">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F57384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a településfejlesztési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koncepcióról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>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 xml:space="preserve">. (XI.8. ) </w:t>
      </w:r>
      <w:proofErr w:type="gramStart"/>
      <w:r w:rsidR="00FC3E2C">
        <w:rPr>
          <w:rFonts w:ascii="Times New Roman" w:hAnsi="Times New Roman" w:cs="Times New Roman"/>
          <w:sz w:val="24"/>
          <w:szCs w:val="24"/>
        </w:rPr>
        <w:t>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Nemesgörzsöny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rendeli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465DE7" w:rsidRDefault="004C3B1E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3130B6">
      <w:pPr>
        <w:pStyle w:val="Listaszerbekezds"/>
        <w:numPr>
          <w:ilvl w:val="0"/>
          <w:numId w:val="12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dokumentáció, mely a tervezett </w:t>
      </w:r>
      <w:proofErr w:type="gramStart"/>
      <w:r w:rsidR="00DE662C" w:rsidRPr="00FC3E2C">
        <w:rPr>
          <w:rFonts w:ascii="Times New Roman" w:hAnsi="Times New Roman" w:cs="Times New Roman"/>
          <w:bCs/>
          <w:sz w:val="24"/>
          <w:szCs w:val="24"/>
        </w:rPr>
        <w:t>építmény élő</w:t>
      </w:r>
      <w:proofErr w:type="gram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proofErr w:type="spellStart"/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</w:t>
      </w:r>
      <w:proofErr w:type="spell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3130B6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népszerűsítő egyéb feliratot és más grafikai megjelenítés, üzlethelyiség portáljában (kirakatában) elhelyezett gazdasági </w:t>
      </w:r>
      <w:proofErr w:type="gramStart"/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reklám</w:t>
      </w:r>
      <w:proofErr w:type="gramEnd"/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3130B6">
      <w:pPr>
        <w:pStyle w:val="Listaszerbekezds"/>
        <w:numPr>
          <w:ilvl w:val="0"/>
          <w:numId w:val="12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3130B6">
      <w:pPr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</w:t>
      </w:r>
      <w:r w:rsidRPr="00FC3E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állagában, esztétikai megjelenésében, szerkezetében végbement folyamatokat, és annak eredményét, mely alapján a védelem oka már nem áll fenn.  </w:t>
      </w:r>
    </w:p>
    <w:p w:rsidR="00465DE7" w:rsidRPr="00FC3E2C" w:rsidRDefault="00465DE7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</w:t>
      </w:r>
      <w:proofErr w:type="spellStart"/>
      <w:r w:rsidRPr="00FC3E2C">
        <w:rPr>
          <w:rFonts w:ascii="Times New Roman" w:hAnsi="Times New Roman" w:cs="Times New Roman"/>
          <w:bCs/>
          <w:sz w:val="24"/>
          <w:szCs w:val="24"/>
        </w:rPr>
        <w:t>rövidebbik</w:t>
      </w:r>
      <w:proofErr w:type="spellEnd"/>
      <w:r w:rsidRPr="00FC3E2C">
        <w:rPr>
          <w:rFonts w:ascii="Times New Roman" w:hAnsi="Times New Roman" w:cs="Times New Roman"/>
          <w:bCs/>
          <w:sz w:val="24"/>
          <w:szCs w:val="24"/>
        </w:rPr>
        <w:t xml:space="preserve">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Információs</w:t>
      </w:r>
      <w:proofErr w:type="gramEnd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vesszővel vagy </w:t>
      </w:r>
      <w:proofErr w:type="gramStart"/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deszkával</w:t>
      </w:r>
      <w:proofErr w:type="gramEnd"/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3130B6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</w:t>
      </w:r>
      <w:r w:rsidR="004228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28AE" w:rsidRPr="000E372A">
        <w:rPr>
          <w:rFonts w:ascii="Times New Roman" w:hAnsi="Times New Roman"/>
          <w:bCs/>
          <w:color w:val="FF0000"/>
          <w:sz w:val="24"/>
          <w:szCs w:val="24"/>
        </w:rPr>
        <w:t>(841x1189 mm</w:t>
      </w:r>
      <w:proofErr w:type="gramStart"/>
      <w:r w:rsidR="004228AE" w:rsidRPr="000E372A">
        <w:rPr>
          <w:rFonts w:ascii="Times New Roman" w:hAnsi="Times New Roman"/>
          <w:bCs/>
          <w:color w:val="FF0000"/>
          <w:sz w:val="24"/>
          <w:szCs w:val="24"/>
        </w:rPr>
        <w:t xml:space="preserve">)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meghaladó</w:t>
      </w:r>
      <w:proofErr w:type="gramEnd"/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méretű plakát.</w:t>
      </w:r>
    </w:p>
    <w:p w:rsidR="004228AE" w:rsidRPr="000E372A" w:rsidRDefault="004228AE" w:rsidP="004228AE">
      <w:pPr>
        <w:tabs>
          <w:tab w:val="left" w:pos="6430"/>
        </w:tabs>
        <w:spacing w:after="0"/>
        <w:ind w:left="644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1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</w:t>
      </w:r>
      <w:proofErr w:type="spellStart"/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szerkezet utólagosan ragasztott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burkolata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3130B6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</w:t>
      </w:r>
      <w:proofErr w:type="spellStart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nál</w:t>
      </w:r>
      <w:proofErr w:type="spellEnd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3130B6">
      <w:pPr>
        <w:pStyle w:val="Listaszerbekezds"/>
        <w:numPr>
          <w:ilvl w:val="0"/>
          <w:numId w:val="12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4C3B1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B76E9E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B76E9E"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6E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6E9E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F57384">
        <w:rPr>
          <w:rFonts w:ascii="Times New Roman" w:eastAsia="Times New Roman" w:hAnsi="Times New Roman" w:cs="Times New Roman"/>
          <w:sz w:val="24"/>
          <w:szCs w:val="24"/>
        </w:rPr>
        <w:t>Nemesgörzsöny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272D1D" w:rsidRPr="007923EA" w:rsidRDefault="00272D1D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D1D" w:rsidRDefault="00272D1D" w:rsidP="00272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 xml:space="preserve">) A helyi védelem alatt álló építészeti örökség a nemzeti közös kulturális kincs része, ezért fenntartása, védelmével összhangban lévő használata és bemutatása közérdek.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védelemre vonatkozó kezdeményezésnek tartalmaznia kell: </w:t>
      </w:r>
    </w:p>
    <w:p w:rsidR="00272D1D" w:rsidRPr="007923EA" w:rsidRDefault="00272D1D" w:rsidP="003130B6">
      <w:pPr>
        <w:numPr>
          <w:ilvl w:val="0"/>
          <w:numId w:val="2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72D1D" w:rsidRPr="007923EA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272D1D" w:rsidRPr="007923EA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272D1D" w:rsidRPr="004228AE" w:rsidRDefault="00272D1D" w:rsidP="003130B6">
      <w:pPr>
        <w:numPr>
          <w:ilvl w:val="0"/>
          <w:numId w:val="2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értékvizsgálatot.</w:t>
      </w:r>
    </w:p>
    <w:p w:rsidR="004228AE" w:rsidRPr="00534D30" w:rsidRDefault="004228AE" w:rsidP="004228A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2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272D1D" w:rsidRPr="007923EA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272D1D" w:rsidRPr="00FC3E2C" w:rsidRDefault="00272D1D" w:rsidP="003130B6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 megszüntetésére akkor kerülhet sor, ha 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a védelem tárgya a védelemmel összefüggő szakmai ismérveknek már nem felel meg;</w:t>
      </w:r>
    </w:p>
    <w:p w:rsidR="00272D1D" w:rsidRPr="007923EA" w:rsidRDefault="00272D1D" w:rsidP="003130B6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magasabb védettséget kap. </w:t>
      </w: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 helyi védelem az állami védelem hatályba lépésének napján külön intézkedés nélkül hatályát veszti.</w:t>
      </w:r>
    </w:p>
    <w:p w:rsidR="00272D1D" w:rsidRPr="007923EA" w:rsidRDefault="004228AE" w:rsidP="004228AE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3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Pr="00FC3E2C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</w:t>
      </w:r>
      <w:proofErr w:type="spellStart"/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 xml:space="preserve"> gondoskodik. 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D1D" w:rsidRPr="00FC3E2C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272D1D" w:rsidRPr="00FC3E2C" w:rsidRDefault="00272D1D" w:rsidP="003130B6">
      <w:pPr>
        <w:numPr>
          <w:ilvl w:val="0"/>
          <w:numId w:val="5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</w:t>
      </w:r>
      <w:proofErr w:type="spellStart"/>
      <w:r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3130B6">
      <w:pPr>
        <w:pStyle w:val="Listaszerbekezds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érintett ingatlanok tulajdonosai, érintett helyi, szakmai, társadalmi szervek, egyesülések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továbbiakban érdekeltek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álláspontja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Pr="007923EA" w:rsidRDefault="00272D1D" w:rsidP="00272D1D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272D1D" w:rsidRPr="007923EA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Pr="004228AE" w:rsidRDefault="00272D1D" w:rsidP="00272D1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(6)</w:t>
      </w: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4228AE" w:rsidRPr="00534D30" w:rsidRDefault="004228AE" w:rsidP="004228A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1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Pr="00FC3E2C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272D1D" w:rsidRPr="00FC3E2C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272D1D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2D1D" w:rsidRPr="00FC3E2C" w:rsidRDefault="00272D1D" w:rsidP="003130B6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és intézkedni kell az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illetékes Földhivatal</w:t>
      </w:r>
      <w:r>
        <w:rPr>
          <w:rFonts w:ascii="Times New Roman" w:eastAsia="Times New Roman" w:hAnsi="Times New Roman" w:cs="Times New Roman"/>
          <w:sz w:val="24"/>
          <w:szCs w:val="24"/>
        </w:rPr>
        <w:t>nál a jogi jelleg feltüntetéséről.</w:t>
      </w:r>
    </w:p>
    <w:p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D1D" w:rsidRDefault="004C3B1E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72D1D"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="00272D1D"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 xml:space="preserve">á esetenként a használat módját, kivéve, ha csak egyes részei kerültek védetté nyilvánításra– védelem illeti.     </w:t>
      </w: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5B4BDE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A helyi egyedi védelem alatt álló épületek esetén homlokzatvakolás, színezés, nyílászárócsere, tető felújítása és tetőtér beépítés során az eredeti épület anyaghasználatát, léptékét és formavilágát alkalmazó, vagy ahhoz alkalmazkodó építészeti megoldások alkalmazandók.        </w:t>
      </w:r>
    </w:p>
    <w:p w:rsidR="00272D1D" w:rsidRPr="005B4BDE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4228AE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(3) Az általános helyi egyedi védelem alatt álló építmények helyreállításánál, átalakításánál és bővítésénél </w:t>
      </w:r>
    </w:p>
    <w:p w:rsidR="00272D1D" w:rsidRPr="004228AE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272D1D" w:rsidRPr="004228AE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272D1D" w:rsidRPr="004228AE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ba</w:t>
      </w:r>
      <w:proofErr w:type="spell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homlokzat felületképzését;</w:t>
      </w:r>
    </w:p>
    <w:p w:rsidR="00272D1D" w:rsidRPr="004228AE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bb</w:t>
      </w:r>
      <w:proofErr w:type="spell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) a </w:t>
      </w:r>
      <w:proofErr w:type="gram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homlokzat díszítő</w:t>
      </w:r>
      <w:proofErr w:type="gram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elemeit;</w:t>
      </w:r>
    </w:p>
    <w:p w:rsidR="00272D1D" w:rsidRPr="004228AE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bc</w:t>
      </w:r>
      <w:proofErr w:type="spell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nyílászárók keretezését, azok jellegzetes szerkezetét, az ablakok osztását;</w:t>
      </w:r>
    </w:p>
    <w:p w:rsidR="00272D1D" w:rsidRPr="004228AE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bd</w:t>
      </w:r>
      <w:proofErr w:type="spell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tornácok kialakítását;</w:t>
      </w:r>
    </w:p>
    <w:p w:rsidR="00272D1D" w:rsidRPr="004228AE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gram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lastRenderedPageBreak/>
        <w:t>be</w:t>
      </w:r>
      <w:proofErr w:type="gram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) a lábazatot, a lábazati párkányt;</w:t>
      </w:r>
    </w:p>
    <w:p w:rsidR="00272D1D" w:rsidRPr="004228AE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272D1D" w:rsidRPr="004228AE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új </w:t>
      </w:r>
      <w:proofErr w:type="spellStart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parapet</w:t>
      </w:r>
      <w:proofErr w:type="spellEnd"/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-konvektor vagy klímaberendezés, parabolaantenna közterületről is látható egysége nem helyezhető el. </w:t>
      </w:r>
    </w:p>
    <w:p w:rsidR="00272D1D" w:rsidRPr="004228AE" w:rsidRDefault="00272D1D" w:rsidP="003130B6">
      <w:pPr>
        <w:pStyle w:val="Listaszerbekezds"/>
        <w:numPr>
          <w:ilvl w:val="1"/>
          <w:numId w:val="1"/>
        </w:numPr>
        <w:tabs>
          <w:tab w:val="left" w:pos="284"/>
        </w:tabs>
        <w:kinsoku w:val="0"/>
        <w:spacing w:after="0"/>
        <w:ind w:left="568" w:hanging="284"/>
        <w:jc w:val="both"/>
        <w:rPr>
          <w:rStyle w:val="CharacterStyle2"/>
          <w:rFonts w:ascii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4228AE">
        <w:rPr>
          <w:rStyle w:val="CharacterStyle2"/>
          <w:rFonts w:ascii="Times New Roman" w:hAnsi="Times New Roman" w:cs="Times New Roman"/>
          <w:strike/>
          <w:color w:val="FF0000"/>
          <w:sz w:val="24"/>
          <w:szCs w:val="24"/>
        </w:rPr>
        <w:t>ne adjon ki zajt, mesterséges fényt.</w:t>
      </w:r>
    </w:p>
    <w:p w:rsidR="00272D1D" w:rsidRPr="004228AE" w:rsidRDefault="00272D1D" w:rsidP="003130B6">
      <w:pPr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4228AE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Csak egyes épületelem védelme esetén a fentiekből csak az adott épületrész rá vonatkozó előírását kell figyelembe venni.</w:t>
      </w:r>
    </w:p>
    <w:p w:rsidR="007A2DE1" w:rsidRPr="00534D30" w:rsidRDefault="007A2DE1" w:rsidP="007A2DE1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4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védett épület belső korszerűsítését, átalakítását, esetleg bővítését az eredeti szerkezet és belső értékek tiszteletben tartásával kell megoldani.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272D1D" w:rsidRPr="007923EA" w:rsidRDefault="00272D1D" w:rsidP="00272D1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17603D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17603D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4C3B1E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2D1D"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272D1D"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 w:rsidR="00272D1D"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2D1D" w:rsidRPr="007923EA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72D1D" w:rsidRPr="007923EA" w:rsidRDefault="00272D1D" w:rsidP="00272D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6B0117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  <w:r w:rsidR="004C3B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amennyiben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azévi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72D1D" w:rsidRPr="00820DC0" w:rsidRDefault="00272D1D" w:rsidP="00272D1D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2D1D" w:rsidRPr="00820DC0" w:rsidRDefault="00272D1D" w:rsidP="003130B6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272D1D" w:rsidRPr="007923EA" w:rsidRDefault="00272D1D" w:rsidP="00272D1D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Amennyiben a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munka építési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engedély köteles: az építési engedélyezési tervdokumentációt és a jogerős építési engedélyt,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272D1D" w:rsidRPr="007923EA" w:rsidRDefault="00272D1D" w:rsidP="00272D1D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272D1D" w:rsidRPr="007923EA" w:rsidRDefault="00272D1D" w:rsidP="003130B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(4) Csak azok a pályázatok részesíthetők támogatásban, amelyeket a munkák megkezdése előtt nyújtanak be és a felújítás költsége részletes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kalkulációval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igazolható, hitelt érdemlően alátámasztott.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272D1D" w:rsidRPr="007923EA" w:rsidRDefault="00272D1D" w:rsidP="00272D1D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5301B1" w:rsidRDefault="00272D1D" w:rsidP="00272D1D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1779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272D1D" w:rsidRPr="007923EA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272D1D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D1D" w:rsidRDefault="00272D1D" w:rsidP="00272D1D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DF3775" w:rsidRDefault="00272D1D" w:rsidP="00272D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272D1D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272D1D" w:rsidRPr="0017603D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272D1D" w:rsidRPr="007923EA" w:rsidRDefault="00272D1D" w:rsidP="003130B6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</w:t>
      </w:r>
      <w:r w:rsidR="00964168">
        <w:rPr>
          <w:rFonts w:ascii="Times New Roman" w:eastAsia="Times New Roman" w:hAnsi="Times New Roman" w:cs="Times New Roman"/>
          <w:sz w:val="24"/>
          <w:szCs w:val="24"/>
        </w:rPr>
        <w:t>t vezető indokoltnak tart. (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védett értékeket érintő beavatkozás hatósági intézkedéseinek másolatát, milyen támogatást kapott).</w:t>
      </w:r>
    </w:p>
    <w:p w:rsidR="00272D1D" w:rsidRPr="007923EA" w:rsidRDefault="00272D1D" w:rsidP="00272D1D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D1D" w:rsidRPr="007923EA" w:rsidRDefault="00272D1D" w:rsidP="003130B6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730" w:rsidRPr="00015BD8" w:rsidRDefault="00477730" w:rsidP="003130B6">
      <w:pPr>
        <w:pStyle w:val="Cmsor20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t>Fejezet</w:t>
      </w:r>
      <w:bookmarkEnd w:id="0"/>
    </w:p>
    <w:p w:rsidR="00477730" w:rsidRDefault="00964168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>
        <w:rPr>
          <w:i/>
          <w:caps/>
        </w:rPr>
        <w:t xml:space="preserve">Településképi szempontból meghatározó </w:t>
      </w:r>
      <w:r w:rsidR="00477730"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 xml:space="preserve">Lehatárolásuk </w:t>
      </w:r>
      <w:proofErr w:type="gramStart"/>
      <w:r>
        <w:rPr>
          <w:i/>
          <w:caps/>
        </w:rPr>
        <w:t>a</w:t>
      </w:r>
      <w:proofErr w:type="gramEnd"/>
      <w:r>
        <w:rPr>
          <w:i/>
          <w:caps/>
        </w:rPr>
        <w:t xml:space="preserve"> </w:t>
      </w:r>
      <w:r w:rsidR="00E11150">
        <w:rPr>
          <w:i/>
          <w:caps/>
        </w:rPr>
        <w:t xml:space="preserve">3. </w:t>
      </w:r>
      <w:r>
        <w:rPr>
          <w:i/>
          <w:caps/>
        </w:rPr>
        <w:t>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2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BF72D8">
        <w:rPr>
          <w:rFonts w:ascii="Times New Roman" w:hAnsi="Times New Roman" w:cs="Times New Roman"/>
          <w:b/>
          <w:sz w:val="24"/>
          <w:szCs w:val="24"/>
        </w:rPr>
        <w:t>„</w:t>
      </w:r>
      <w:r w:rsidR="002566ED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Falusias</w:t>
      </w:r>
      <w:r w:rsidR="007A2DE1" w:rsidRPr="007A2DE1">
        <w:rPr>
          <w:rFonts w:ascii="Times New Roman" w:hAnsi="Times New Roman" w:cs="Times New Roman"/>
          <w:color w:val="FF0000"/>
          <w:sz w:val="24"/>
          <w:szCs w:val="24"/>
        </w:rPr>
        <w:t xml:space="preserve"> Ófalu</w:t>
      </w:r>
      <w:r w:rsidR="00BF72D8">
        <w:rPr>
          <w:rFonts w:ascii="Times New Roman" w:hAnsi="Times New Roman" w:cs="Times New Roman"/>
          <w:sz w:val="24"/>
          <w:szCs w:val="24"/>
        </w:rPr>
        <w:t>”</w:t>
      </w:r>
      <w:r w:rsidR="00477730" w:rsidRPr="00163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730" w:rsidRPr="00163477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477730" w:rsidRPr="00163477">
        <w:rPr>
          <w:rFonts w:ascii="Times New Roman" w:hAnsi="Times New Roman" w:cs="Times New Roman"/>
          <w:sz w:val="24"/>
          <w:szCs w:val="24"/>
        </w:rPr>
        <w:t xml:space="preserve">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DE1" w:rsidRPr="007A2DE1" w:rsidRDefault="007A2DE1" w:rsidP="007A2DE1">
      <w:pPr>
        <w:tabs>
          <w:tab w:val="left" w:pos="6430"/>
        </w:tabs>
        <w:spacing w:after="0"/>
        <w:ind w:left="644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163477" w:rsidRPr="00BD03E3" w:rsidRDefault="00B871EC" w:rsidP="003130B6">
      <w:pPr>
        <w:pStyle w:val="Listaszerbekezds"/>
        <w:numPr>
          <w:ilvl w:val="1"/>
          <w:numId w:val="13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2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C112E">
        <w:rPr>
          <w:rFonts w:ascii="Times New Roman" w:hAnsi="Times New Roman" w:cs="Times New Roman"/>
          <w:sz w:val="24"/>
          <w:szCs w:val="24"/>
        </w:rPr>
        <w:t>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>lag magastetős</w:t>
      </w:r>
      <w:r w:rsidR="00272D1D">
        <w:rPr>
          <w:rFonts w:ascii="Times New Roman" w:hAnsi="Times New Roman" w:cs="Times New Roman"/>
          <w:sz w:val="24"/>
          <w:szCs w:val="24"/>
        </w:rPr>
        <w:t xml:space="preserve">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272D1D">
        <w:rPr>
          <w:rFonts w:ascii="Times New Roman" w:hAnsi="Times New Roman" w:cs="Times New Roman"/>
          <w:sz w:val="24"/>
          <w:szCs w:val="24"/>
        </w:rPr>
        <w:t>0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135E6C">
        <w:rPr>
          <w:rFonts w:ascii="Times New Roman" w:hAnsi="Times New Roman" w:cs="Times New Roman"/>
          <w:sz w:val="24"/>
          <w:szCs w:val="24"/>
        </w:rPr>
        <w:t>.</w:t>
      </w:r>
      <w:r w:rsidR="00A56F52">
        <w:rPr>
          <w:rFonts w:ascii="Times New Roman" w:hAnsi="Times New Roman" w:cs="Times New Roman"/>
          <w:sz w:val="24"/>
          <w:szCs w:val="24"/>
        </w:rPr>
        <w:t xml:space="preserve"> A hátsókert felé eső mellékfunkciójú épület tetőhajlásszöge és tetőalakja ettől eltérő 2</w:t>
      </w:r>
      <w:r w:rsidR="00272D1D">
        <w:rPr>
          <w:rFonts w:ascii="Times New Roman" w:hAnsi="Times New Roman" w:cs="Times New Roman"/>
          <w:sz w:val="24"/>
          <w:szCs w:val="24"/>
        </w:rPr>
        <w:t>0</w:t>
      </w:r>
      <w:r w:rsidR="00A56F52">
        <w:rPr>
          <w:rFonts w:ascii="Times New Roman" w:hAnsi="Times New Roman" w:cs="Times New Roman"/>
          <w:sz w:val="24"/>
          <w:szCs w:val="24"/>
        </w:rPr>
        <w:t>-45 fokos is lehet.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homlokzat csak vakolt – festett (meszelt)</w:t>
      </w:r>
      <w:r w:rsidR="00272D1D">
        <w:rPr>
          <w:rFonts w:ascii="Times New Roman" w:hAnsi="Times New Roman" w:cs="Times New Roman"/>
          <w:sz w:val="24"/>
          <w:szCs w:val="24"/>
        </w:rPr>
        <w:t>, vagy természetes anyag (kő, tégla, fa)</w:t>
      </w:r>
      <w:r w:rsidRPr="007923EA">
        <w:rPr>
          <w:rFonts w:ascii="Times New Roman" w:hAnsi="Times New Roman" w:cs="Times New Roman"/>
          <w:sz w:val="24"/>
          <w:szCs w:val="24"/>
        </w:rPr>
        <w:t xml:space="preserve"> felületű lehet. A lábazat tégla-, </w:t>
      </w:r>
      <w:r>
        <w:rPr>
          <w:rFonts w:ascii="Times New Roman" w:hAnsi="Times New Roman" w:cs="Times New Roman"/>
          <w:sz w:val="24"/>
          <w:szCs w:val="24"/>
        </w:rPr>
        <w:t>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területen egyes épületek jellemző homlokzati falfelületének színezésénél – a környezethez való illeszkedés érdekében – csak </w:t>
      </w:r>
      <w:r w:rsidR="00272D1D">
        <w:rPr>
          <w:rFonts w:ascii="Times New Roman" w:hAnsi="Times New Roman" w:cs="Times New Roman"/>
          <w:sz w:val="24"/>
          <w:szCs w:val="24"/>
        </w:rPr>
        <w:t xml:space="preserve">világos </w:t>
      </w:r>
      <w:proofErr w:type="gramStart"/>
      <w:r w:rsidR="00272D1D">
        <w:rPr>
          <w:rFonts w:ascii="Times New Roman" w:hAnsi="Times New Roman" w:cs="Times New Roman"/>
          <w:sz w:val="24"/>
          <w:szCs w:val="24"/>
        </w:rPr>
        <w:t>pasztell</w:t>
      </w:r>
      <w:r w:rsidR="00877C52">
        <w:rPr>
          <w:rFonts w:ascii="Times New Roman" w:hAnsi="Times New Roman" w:cs="Times New Roman"/>
          <w:sz w:val="24"/>
          <w:szCs w:val="24"/>
        </w:rPr>
        <w:t xml:space="preserve"> szín</w:t>
      </w:r>
      <w:proofErr w:type="gramEnd"/>
      <w:r w:rsidR="00877C52">
        <w:rPr>
          <w:rFonts w:ascii="Times New Roman" w:hAnsi="Times New Roman" w:cs="Times New Roman"/>
          <w:sz w:val="24"/>
          <w:szCs w:val="24"/>
        </w:rPr>
        <w:t xml:space="preserve"> és a </w:t>
      </w:r>
      <w:r w:rsidRPr="007923EA">
        <w:rPr>
          <w:rFonts w:ascii="Times New Roman" w:hAnsi="Times New Roman" w:cs="Times New Roman"/>
          <w:sz w:val="24"/>
          <w:szCs w:val="24"/>
        </w:rPr>
        <w:t>természetes építőanyagok alkalmazása esetén azok természetes színei is alkalmazhatók.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proofErr w:type="gramStart"/>
      <w:r w:rsidR="00AE75FB">
        <w:rPr>
          <w:rFonts w:ascii="Times New Roman" w:hAnsi="Times New Roman" w:cs="Times New Roman"/>
          <w:sz w:val="24"/>
          <w:szCs w:val="24"/>
        </w:rPr>
        <w:t>s</w:t>
      </w:r>
      <w:r w:rsidR="00877C52">
        <w:rPr>
          <w:rFonts w:ascii="Times New Roman" w:hAnsi="Times New Roman" w:cs="Times New Roman"/>
          <w:sz w:val="24"/>
          <w:szCs w:val="24"/>
        </w:rPr>
        <w:t>t</w:t>
      </w:r>
      <w:r w:rsidR="00AE75FB">
        <w:rPr>
          <w:rFonts w:ascii="Times New Roman" w:hAnsi="Times New Roman" w:cs="Times New Roman"/>
          <w:sz w:val="24"/>
          <w:szCs w:val="24"/>
        </w:rPr>
        <w:t>ru</w:t>
      </w:r>
      <w:r w:rsidR="00877C52">
        <w:rPr>
          <w:rFonts w:ascii="Times New Roman" w:hAnsi="Times New Roman" w:cs="Times New Roman"/>
          <w:sz w:val="24"/>
          <w:szCs w:val="24"/>
        </w:rPr>
        <w:t>k</w:t>
      </w:r>
      <w:r w:rsidR="00AE75FB">
        <w:rPr>
          <w:rFonts w:ascii="Times New Roman" w:hAnsi="Times New Roman" w:cs="Times New Roman"/>
          <w:sz w:val="24"/>
          <w:szCs w:val="24"/>
        </w:rPr>
        <w:t>túrájú</w:t>
      </w:r>
      <w:proofErr w:type="gramEnd"/>
      <w:r w:rsid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877C52">
        <w:rPr>
          <w:rFonts w:ascii="Times New Roman" w:hAnsi="Times New Roman" w:cs="Times New Roman"/>
          <w:sz w:val="24"/>
          <w:szCs w:val="24"/>
        </w:rPr>
        <w:t>p</w:t>
      </w:r>
      <w:r w:rsidR="00AE75FB">
        <w:rPr>
          <w:rFonts w:ascii="Times New Roman" w:hAnsi="Times New Roman" w:cs="Times New Roman"/>
          <w:sz w:val="24"/>
          <w:szCs w:val="24"/>
        </w:rPr>
        <w:t>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C018CA">
        <w:rPr>
          <w:rFonts w:ascii="Times New Roman" w:hAnsi="Times New Roman" w:cs="Times New Roman"/>
          <w:sz w:val="24"/>
          <w:szCs w:val="24"/>
        </w:rPr>
        <w:t>előpatinásított</w:t>
      </w:r>
      <w:proofErr w:type="spellEnd"/>
      <w:r w:rsidR="00C018C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877C52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>és tetőformájához</w:t>
      </w:r>
      <w:r w:rsidR="00877C52">
        <w:rPr>
          <w:rFonts w:ascii="Times New Roman" w:hAnsi="Times New Roman" w:cs="Times New Roman"/>
          <w:sz w:val="24"/>
          <w:szCs w:val="24"/>
        </w:rPr>
        <w:t>.</w:t>
      </w:r>
      <w:r w:rsidRPr="00B8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7A2DE1" w:rsidRPr="007A2DE1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falusias</w:t>
      </w:r>
      <w:r w:rsidR="00BD0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DE1" w:rsidRPr="007A2DE1">
        <w:rPr>
          <w:rFonts w:ascii="Times New Roman" w:hAnsi="Times New Roman" w:cs="Times New Roman"/>
          <w:color w:val="FF0000"/>
          <w:sz w:val="24"/>
          <w:szCs w:val="24"/>
        </w:rPr>
        <w:t>ófalu</w:t>
      </w:r>
      <w:proofErr w:type="spellEnd"/>
      <w:r w:rsidR="007A2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C52">
        <w:rPr>
          <w:rFonts w:ascii="Times New Roman" w:hAnsi="Times New Roman" w:cs="Times New Roman"/>
          <w:sz w:val="24"/>
          <w:szCs w:val="24"/>
        </w:rPr>
        <w:t>karakter</w:t>
      </w:r>
      <w:proofErr w:type="gramEnd"/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</w:t>
      </w:r>
      <w:proofErr w:type="spellStart"/>
      <w:r w:rsidR="00877C52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877C52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. 150 cm magassággal</w:t>
      </w:r>
      <w:r w:rsidR="00877C52" w:rsidRPr="00B871EC">
        <w:rPr>
          <w:rFonts w:ascii="Times New Roman" w:hAnsi="Times New Roman" w:cs="Times New Roman"/>
          <w:sz w:val="24"/>
          <w:szCs w:val="24"/>
        </w:rPr>
        <w:t xml:space="preserve"> </w:t>
      </w:r>
      <w:r w:rsidRPr="00B871EC">
        <w:rPr>
          <w:rFonts w:ascii="Times New Roman" w:hAnsi="Times New Roman" w:cs="Times New Roman"/>
          <w:sz w:val="24"/>
          <w:szCs w:val="24"/>
        </w:rPr>
        <w:t xml:space="preserve">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 w:rsidR="00877C52">
        <w:rPr>
          <w:rFonts w:ascii="Times New Roman" w:hAnsi="Times New Roman" w:cs="Times New Roman"/>
          <w:sz w:val="24"/>
          <w:szCs w:val="24"/>
        </w:rPr>
        <w:t>, téglából, vagy fából építhető. Nyers betonfelület kötelezően bevakolandó.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C52">
        <w:rPr>
          <w:rFonts w:ascii="Times New Roman" w:hAnsi="Times New Roman" w:cs="Times New Roman"/>
          <w:sz w:val="24"/>
          <w:szCs w:val="24"/>
        </w:rPr>
        <w:t xml:space="preserve"> Egyéb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C5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 anyagú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kerítés </w:t>
      </w:r>
      <w:proofErr w:type="spellStart"/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. 1</w:t>
      </w:r>
      <w:r w:rsidR="00BF72D8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6</w:t>
      </w:r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 xml:space="preserve">min. 30%-os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</w:t>
      </w:r>
      <w:r w:rsidR="00877C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Egyéb kerítés </w:t>
      </w:r>
      <w:proofErr w:type="spellStart"/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. 1</w:t>
      </w:r>
      <w:r w:rsidR="00BF72D8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8</w:t>
      </w:r>
      <w:r w:rsidR="00BD03E3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</w:t>
      </w:r>
      <w:proofErr w:type="spellStart"/>
      <w:r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max</w:t>
      </w:r>
      <w:proofErr w:type="spellEnd"/>
      <w:r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. 60 cm magas</w:t>
      </w:r>
      <w:r>
        <w:rPr>
          <w:rFonts w:ascii="Times New Roman" w:hAnsi="Times New Roman" w:cs="Times New Roman"/>
          <w:sz w:val="24"/>
          <w:szCs w:val="24"/>
        </w:rPr>
        <w:t xml:space="preserve"> tömör lábazattal</w:t>
      </w:r>
      <w:r w:rsidR="00877C52">
        <w:rPr>
          <w:rFonts w:ascii="Times New Roman" w:hAnsi="Times New Roman" w:cs="Times New Roman"/>
          <w:sz w:val="24"/>
          <w:szCs w:val="24"/>
        </w:rPr>
        <w:t>. Nyers betonfelület bevakolandó.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7923EA">
        <w:rPr>
          <w:rFonts w:ascii="Times New Roman" w:hAnsi="Times New Roman" w:cs="Times New Roman"/>
          <w:sz w:val="24"/>
          <w:szCs w:val="24"/>
        </w:rPr>
        <w:t xml:space="preserve">oldal és hátsó telekhatáron, valamint oldal és hátsókertben építendő kerítés </w:t>
      </w:r>
      <w:proofErr w:type="spellStart"/>
      <w:r w:rsidR="00BF72D8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m</w:t>
      </w:r>
      <w:r w:rsidR="00877C52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a</w:t>
      </w:r>
      <w:r w:rsidR="00BF72D8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x</w:t>
      </w:r>
      <w:proofErr w:type="spellEnd"/>
      <w:r w:rsidR="00BF72D8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. </w:t>
      </w:r>
      <w:r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180 </w:t>
      </w:r>
      <w:r w:rsidR="00877C52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c</w:t>
      </w:r>
      <w:r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m</w:t>
      </w:r>
      <w:r w:rsidR="00877C52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magas lehet </w:t>
      </w:r>
      <w:r w:rsidR="00AE75FB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és </w:t>
      </w:r>
      <w:r w:rsidR="00877C52"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AE75FB">
        <w:rPr>
          <w:rFonts w:ascii="Times New Roman" w:hAnsi="Times New Roman" w:cs="Times New Roman"/>
          <w:sz w:val="24"/>
          <w:szCs w:val="24"/>
        </w:rPr>
        <w:t>min. 50%-</w:t>
      </w:r>
      <w:proofErr w:type="spellStart"/>
      <w:r w:rsidR="00AE75F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AE75FB">
        <w:rPr>
          <w:rFonts w:ascii="Times New Roman" w:hAnsi="Times New Roman" w:cs="Times New Roman"/>
          <w:sz w:val="24"/>
          <w:szCs w:val="24"/>
        </w:rPr>
        <w:t xml:space="preserve"> áttört </w:t>
      </w:r>
      <w:proofErr w:type="gramStart"/>
      <w:r w:rsidR="00AE75FB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="00AE75FB">
        <w:rPr>
          <w:rFonts w:ascii="Times New Roman" w:hAnsi="Times New Roman" w:cs="Times New Roman"/>
          <w:sz w:val="24"/>
          <w:szCs w:val="24"/>
        </w:rPr>
        <w:t xml:space="preserve"> legyen.</w:t>
      </w:r>
    </w:p>
    <w:p w:rsidR="007A2DE1" w:rsidRPr="00534D30" w:rsidRDefault="007A2DE1" w:rsidP="007A2DE1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Módosítva a törvényességi felhívás 6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7A2DE1" w:rsidRPr="007A2DE1" w:rsidRDefault="007A2DE1" w:rsidP="007A2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EC" w:rsidRDefault="00B871EC" w:rsidP="003130B6">
      <w:pPr>
        <w:pStyle w:val="Listaszerbekezds"/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</w:t>
      </w:r>
      <w:r w:rsidR="00877C52">
        <w:rPr>
          <w:rFonts w:ascii="Times New Roman" w:hAnsi="Times New Roman" w:cs="Times New Roman"/>
          <w:sz w:val="24"/>
          <w:szCs w:val="24"/>
        </w:rPr>
        <w:t xml:space="preserve">límaberendezés kültéri egysége </w:t>
      </w:r>
      <w:r w:rsidRPr="007923EA">
        <w:rPr>
          <w:rFonts w:ascii="Times New Roman" w:hAnsi="Times New Roman" w:cs="Times New Roman"/>
          <w:sz w:val="24"/>
          <w:szCs w:val="24"/>
        </w:rPr>
        <w:t>nem helyezhető el.</w:t>
      </w:r>
    </w:p>
    <w:p w:rsidR="00B871EC" w:rsidRPr="007923EA" w:rsidRDefault="004C3B1E" w:rsidP="00877C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</w:t>
      </w:r>
      <w:r w:rsidR="00877C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4C3B1E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937054" w:rsidRPr="00B26342" w:rsidRDefault="004C3B1E" w:rsidP="00B26342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helyezhető el úgy, hogy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lastRenderedPageBreak/>
        <w:t xml:space="preserve">és </w:t>
      </w:r>
      <w:proofErr w:type="spellStart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 és nem adhat ki zajt, </w:t>
      </w:r>
      <w:r w:rsidR="00B26342">
        <w:rPr>
          <w:rStyle w:val="CharacterStyle2"/>
          <w:rFonts w:ascii="Times New Roman" w:hAnsi="Times New Roman" w:cs="Times New Roman"/>
          <w:sz w:val="24"/>
          <w:szCs w:val="24"/>
        </w:rPr>
        <w:t xml:space="preserve">kápráztató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mesterséges fényt</w:t>
      </w:r>
      <w:r w:rsidR="00B26342">
        <w:rPr>
          <w:rStyle w:val="CharacterStyle2"/>
          <w:rFonts w:ascii="Times New Roman" w:hAnsi="Times New Roman" w:cs="Times New Roman"/>
          <w:sz w:val="24"/>
          <w:szCs w:val="24"/>
        </w:rPr>
        <w:t>.</w:t>
      </w:r>
    </w:p>
    <w:p w:rsidR="00645200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3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>
        <w:rPr>
          <w:rFonts w:ascii="Times New Roman" w:hAnsi="Times New Roman" w:cs="Times New Roman"/>
          <w:sz w:val="24"/>
          <w:szCs w:val="24"/>
        </w:rPr>
        <w:t>A</w:t>
      </w:r>
      <w:r w:rsidR="00D269ED">
        <w:rPr>
          <w:rFonts w:ascii="Times New Roman" w:hAnsi="Times New Roman" w:cs="Times New Roman"/>
          <w:sz w:val="24"/>
          <w:szCs w:val="24"/>
        </w:rPr>
        <w:t>z „</w:t>
      </w:r>
      <w:r w:rsidR="00BF72D8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F</w:t>
      </w:r>
      <w:r w:rsidR="00172C7F" w:rsidRPr="007A2DE1">
        <w:rPr>
          <w:rFonts w:ascii="Times New Roman" w:hAnsi="Times New Roman" w:cs="Times New Roman"/>
          <w:strike/>
          <w:color w:val="FF0000"/>
          <w:sz w:val="24"/>
          <w:szCs w:val="24"/>
        </w:rPr>
        <w:t>alusias</w:t>
      </w:r>
      <w:r w:rsidR="00172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DE1" w:rsidRPr="007A2DE1">
        <w:rPr>
          <w:rFonts w:ascii="Times New Roman" w:hAnsi="Times New Roman" w:cs="Times New Roman"/>
          <w:color w:val="FF0000"/>
          <w:sz w:val="24"/>
          <w:szCs w:val="24"/>
        </w:rPr>
        <w:t>ófalu</w:t>
      </w:r>
      <w:proofErr w:type="spellEnd"/>
      <w:r w:rsidR="007A2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C7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172C7F">
        <w:rPr>
          <w:rFonts w:ascii="Times New Roman" w:hAnsi="Times New Roman" w:cs="Times New Roman"/>
          <w:sz w:val="24"/>
          <w:szCs w:val="24"/>
        </w:rPr>
        <w:t xml:space="preserve"> területen belüli 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DE1" w:rsidRPr="007A2DE1" w:rsidRDefault="007A2DE1" w:rsidP="007A2DE1">
      <w:pPr>
        <w:tabs>
          <w:tab w:val="left" w:pos="6430"/>
        </w:tabs>
        <w:spacing w:after="0"/>
        <w:ind w:left="644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5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172C7F" w:rsidRPr="00172C7F" w:rsidRDefault="00172C7F" w:rsidP="00B2634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C7F">
        <w:rPr>
          <w:rFonts w:ascii="Times New Roman" w:hAnsi="Times New Roman" w:cs="Times New Roman"/>
          <w:sz w:val="24"/>
          <w:szCs w:val="24"/>
        </w:rPr>
        <w:t xml:space="preserve">Gazdasági területen az épületek csak magastetővel létesíthetők. A </w:t>
      </w:r>
      <w:r w:rsidR="00422E0C">
        <w:rPr>
          <w:rFonts w:ascii="Times New Roman" w:hAnsi="Times New Roman" w:cs="Times New Roman"/>
          <w:sz w:val="24"/>
          <w:szCs w:val="24"/>
        </w:rPr>
        <w:t>9</w:t>
      </w:r>
      <w:r w:rsidRPr="00172C7F">
        <w:rPr>
          <w:rFonts w:ascii="Times New Roman" w:hAnsi="Times New Roman" w:cs="Times New Roman"/>
          <w:sz w:val="24"/>
          <w:szCs w:val="24"/>
        </w:rPr>
        <w:t xml:space="preserve"> méternél nagyobb fesztávú csarnokszerkezetek kivételével a tető hajlásszöge 30°-45º között lehet, tetőhéjazatként </w:t>
      </w:r>
      <w:r w:rsidR="00B26342">
        <w:rPr>
          <w:rFonts w:ascii="Times New Roman" w:hAnsi="Times New Roman" w:cs="Times New Roman"/>
          <w:sz w:val="24"/>
          <w:szCs w:val="24"/>
        </w:rPr>
        <w:t>nem telt</w:t>
      </w:r>
      <w:r w:rsidRPr="00172C7F">
        <w:rPr>
          <w:rFonts w:ascii="Times New Roman" w:hAnsi="Times New Roman" w:cs="Times New Roman"/>
          <w:sz w:val="24"/>
          <w:szCs w:val="24"/>
        </w:rPr>
        <w:t xml:space="preserve"> tónusú kiselemes hatású fedést kell alkalmazni. A nagyfesztávú csarnokszerkezetek alacsonyabb hajlásszögű</w:t>
      </w:r>
      <w:r w:rsidR="00B26342">
        <w:rPr>
          <w:rFonts w:ascii="Times New Roman" w:hAnsi="Times New Roman" w:cs="Times New Roman"/>
          <w:sz w:val="24"/>
          <w:szCs w:val="24"/>
        </w:rPr>
        <w:t>, vagy lapos</w:t>
      </w:r>
      <w:r w:rsidRPr="00172C7F">
        <w:rPr>
          <w:rFonts w:ascii="Times New Roman" w:hAnsi="Times New Roman" w:cs="Times New Roman"/>
          <w:sz w:val="24"/>
          <w:szCs w:val="24"/>
        </w:rPr>
        <w:t xml:space="preserve"> tetővel</w:t>
      </w:r>
      <w:r w:rsidR="00B26342">
        <w:rPr>
          <w:rFonts w:ascii="Times New Roman" w:hAnsi="Times New Roman" w:cs="Times New Roman"/>
          <w:sz w:val="24"/>
          <w:szCs w:val="24"/>
        </w:rPr>
        <w:t xml:space="preserve"> építhetők.</w:t>
      </w:r>
    </w:p>
    <w:p w:rsidR="00B26342" w:rsidRPr="0020604C" w:rsidRDefault="00B26342" w:rsidP="00B2634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C3B1E">
        <w:rPr>
          <w:rFonts w:ascii="Times New Roman" w:hAnsi="Times New Roman" w:cs="Times New Roman"/>
          <w:b/>
          <w:sz w:val="24"/>
          <w:szCs w:val="24"/>
        </w:rPr>
        <w:t>4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 xml:space="preserve">Erdő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épületek, építmények kizárólag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tájbaillő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épület esetén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magastetősek</w:t>
      </w:r>
      <w:proofErr w:type="spell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nyeregtatővel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Erdőtelepítés, erdőfelújítás </w:t>
      </w:r>
      <w:proofErr w:type="gram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során</w:t>
      </w:r>
      <w:proofErr w:type="gram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valamennyi erdőterületen a termőhelyi adottságoknak megfelelő honos fafajok telepítendők, ill. természet- és környezetkímélő gazdálkodási módszerek alkalmazandók.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4C3B1E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>
        <w:rPr>
          <w:rFonts w:ascii="Times New Roman" w:hAnsi="Times New Roman" w:cs="Times New Roman"/>
          <w:sz w:val="24"/>
          <w:szCs w:val="24"/>
        </w:rPr>
        <w:t xml:space="preserve">Mezőgazdasági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m2-nél nagyobb homlokzatok felületét tagoltan kell kialakítani.</w:t>
      </w:r>
    </w:p>
    <w:p w:rsidR="005A57EA" w:rsidRPr="00324087" w:rsidRDefault="004C3B1E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sajátos technológiából következő új formájú, megjelenésű építményeket tájba illesztve kell elhelyezni.</w:t>
      </w:r>
      <w:r w:rsidR="00324087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4C3B1E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gramStart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területen csak hagyományo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s épületszerkezetű, tájba illő épület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 hajlású, 9-12 m szélesség esetén 2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 </w:t>
      </w:r>
      <w:proofErr w:type="spellStart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beton,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kő, tégla, fa,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héjazata 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pikkelyszerű kiselemes, vagy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nád,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="008A33A2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>világos pasztell, vagy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natur</w:t>
      </w:r>
      <w:proofErr w:type="spellEnd"/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6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(kivéve a beton) 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>színű faburkolat.</w:t>
      </w:r>
    </w:p>
    <w:p w:rsidR="00404543" w:rsidRPr="00404543" w:rsidRDefault="004C3B1E" w:rsidP="004C3B1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4C3B1E" w:rsidRPr="00D66B84" w:rsidRDefault="004C3B1E" w:rsidP="004C3B1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sajátos építményre, műtárgyra vonatkozó követelmények</w:t>
      </w:r>
    </w:p>
    <w:p w:rsidR="004C3B1E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4C3B1E" w:rsidRPr="004C3B1E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16</w:t>
      </w:r>
      <w:r w:rsidRPr="004C50A0">
        <w:rPr>
          <w:rFonts w:ascii="Times New Roman" w:hAnsi="Times New Roman" w:cs="Times New Roman"/>
          <w:b/>
          <w:spacing w:val="-4"/>
          <w:sz w:val="24"/>
          <w:szCs w:val="24"/>
        </w:rPr>
        <w:t xml:space="preserve">.§ </w:t>
      </w:r>
      <w:bookmarkStart w:id="2" w:name="_Toc357166130"/>
      <w:bookmarkStart w:id="3" w:name="_Toc416785993"/>
      <w:r w:rsidRPr="00033858">
        <w:rPr>
          <w:rFonts w:ascii="Times New Roman" w:hAnsi="Times New Roman" w:cs="Times New Roman"/>
          <w:sz w:val="24"/>
          <w:szCs w:val="24"/>
        </w:rPr>
        <w:t>(1)</w:t>
      </w:r>
      <w:r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 területek:</w:t>
      </w:r>
    </w:p>
    <w:p w:rsidR="004C3B1E" w:rsidRPr="0019115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15A">
        <w:rPr>
          <w:rFonts w:ascii="Times New Roman" w:hAnsi="Times New Roman" w:cs="Times New Roman"/>
          <w:color w:val="000000" w:themeColor="text1"/>
          <w:sz w:val="24"/>
          <w:szCs w:val="24"/>
        </w:rPr>
        <w:t>településképi szempontból meghatározó területek műemlék területe, műemléki környezet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4C3B1E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mag-, folyosó és pufferterülete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C3B1E" w:rsidRPr="009D3AD6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helyi jelentőségű természetvédelmi terület,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fogva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4C3B1E" w:rsidRPr="007923EA" w:rsidRDefault="004C3B1E" w:rsidP="003130B6">
      <w:pPr>
        <w:pStyle w:val="Listaszerbekezds"/>
        <w:numPr>
          <w:ilvl w:val="1"/>
          <w:numId w:val="17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terület.</w:t>
      </w:r>
    </w:p>
    <w:p w:rsidR="004C3B1E" w:rsidRPr="007923EA" w:rsidRDefault="004C3B1E" w:rsidP="004C3B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7923EA" w:rsidRDefault="004C3B1E" w:rsidP="004C3B1E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teljes település ellátását biztosító felszíni energiaellátási és elektronikus hírközlési sajátos építmények, műtárgyak elhelyezésére elsősorban alkalmas területek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szerint az (1) bekezdés alá nem tartozó beépítésre nem szánt területek,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R szerinti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</w:t>
      </w:r>
      <w:proofErr w:type="spell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Gksz</w:t>
      </w:r>
      <w:proofErr w:type="spell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területek.</w:t>
      </w:r>
    </w:p>
    <w:p w:rsidR="004C3B1E" w:rsidRPr="00D66B84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4C50A0" w:rsidRDefault="004C3B1E" w:rsidP="004C3B1E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57166131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4C50A0">
        <w:rPr>
          <w:rFonts w:ascii="Times New Roman" w:hAnsi="Times New Roman" w:cs="Times New Roman"/>
          <w:sz w:val="24"/>
          <w:szCs w:val="24"/>
        </w:rPr>
        <w:t>(1) A belterület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Pr="004C50A0">
        <w:rPr>
          <w:rFonts w:ascii="Times New Roman" w:hAnsi="Times New Roman" w:cs="Times New Roman"/>
          <w:sz w:val="24"/>
          <w:szCs w:val="24"/>
        </w:rPr>
        <w:t>beépítésre szánt új fejlesztési területeken, ahol a meglevő gyenge és erősáramú hálózatok föld feletti vezetésűek, új elektronikus hírközlési hálózatokat a meglevő oszlopsorra, illetve közös tartóoszlopra kell fektetni. Közös oszlopsorra való telepítés bármilyen akadályoztatása esetén az építendő hálózatot földalatti elhelyezéssel lehet csak kivitelezni. Amennyiben a területen nincsen meglévő föl feletti vezetésű villamos energia hálózat, ott az elektronikus hírközlési hálózatokat is földal</w:t>
      </w:r>
      <w:r>
        <w:rPr>
          <w:rFonts w:ascii="Times New Roman" w:hAnsi="Times New Roman" w:cs="Times New Roman"/>
          <w:sz w:val="24"/>
          <w:szCs w:val="24"/>
        </w:rPr>
        <w:t>atti elhelyezéssel kell építeni, kivéve az „elektronikus hírközlésről” szóló törvény szerinti eseteket.</w:t>
      </w:r>
    </w:p>
    <w:p w:rsidR="004C3B1E" w:rsidRPr="004C50A0" w:rsidRDefault="004C3B1E" w:rsidP="004C3B1E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4C3B1E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) Belterületi építési övezetek területein antenna csak meglévő építményre telepíthető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közterületről nem látható építményrészre</w:t>
      </w:r>
      <w:r w:rsidRPr="00D66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B1E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7923EA" w:rsidRDefault="004C3B1E" w:rsidP="004C3B1E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reklámhordozókra vonatkozó településképi követelmények</w:t>
      </w:r>
    </w:p>
    <w:p w:rsidR="004C3B1E" w:rsidRPr="007923EA" w:rsidRDefault="004C3B1E" w:rsidP="004C3B1E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B1E" w:rsidRPr="007923EA" w:rsidRDefault="004C3B1E" w:rsidP="004C3B1E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C3B1E" w:rsidRPr="007923EA" w:rsidRDefault="004C3B1E" w:rsidP="004C3B1E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C3B1E" w:rsidRPr="007923EA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C3B1E" w:rsidRDefault="004C3B1E" w:rsidP="004C3B1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4C3B1E" w:rsidRPr="00D66B84" w:rsidRDefault="004C3B1E" w:rsidP="004C3B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4C3B1E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8D7979"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F332B8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engedélyköteles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polgármesternél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332B8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2B8" w:rsidRPr="00565D73" w:rsidRDefault="00F332B8" w:rsidP="00F332B8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21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F332B8" w:rsidRPr="007923EA" w:rsidRDefault="00F332B8" w:rsidP="003130B6">
      <w:pPr>
        <w:pStyle w:val="Listaszerbekezds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konzultáció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49BE" w:rsidRP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</w:t>
      </w:r>
      <w:r w:rsidR="00F049B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z önkormányzati </w:t>
      </w:r>
      <w:proofErr w:type="spellStart"/>
      <w:r w:rsidR="00F049B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főépítész</w:t>
      </w:r>
      <w:proofErr w:type="spellEnd"/>
      <w:r w:rsidR="00F049BE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feladata, foglalkoztatása hiányában a </w:t>
      </w:r>
      <w:r w:rsidR="00F049BE" w:rsidRPr="00A64DC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település polgármesterének feladata</w:t>
      </w:r>
      <w:r w:rsidR="00F049BE"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, szükség esetén a települési </w:t>
      </w:r>
      <w:proofErr w:type="spellStart"/>
      <w:r w:rsidR="00F049BE"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>főépítész</w:t>
      </w:r>
      <w:proofErr w:type="spellEnd"/>
      <w:r w:rsidR="00F049BE" w:rsidRPr="00A64DC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 bevonásával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049BE" w:rsidRPr="005C73EF" w:rsidRDefault="00F049BE" w:rsidP="00F049B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7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F332B8" w:rsidRPr="007923EA" w:rsidRDefault="00F332B8" w:rsidP="00F332B8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332B8" w:rsidRPr="007923EA" w:rsidRDefault="00F332B8" w:rsidP="00F332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V. FEJEZET</w:t>
      </w:r>
    </w:p>
    <w:p w:rsidR="00F332B8" w:rsidRPr="007923EA" w:rsidRDefault="00F332B8" w:rsidP="00F332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BEJELENTÉSI ELJÁRÁS</w:t>
      </w:r>
    </w:p>
    <w:p w:rsidR="00F332B8" w:rsidRPr="007923EA" w:rsidRDefault="00F332B8" w:rsidP="00F332B8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23EA">
        <w:rPr>
          <w:rFonts w:ascii="Times New Roman" w:hAnsi="Times New Roman" w:cs="Times New Roman"/>
          <w:b/>
          <w:sz w:val="24"/>
          <w:szCs w:val="24"/>
        </w:rPr>
        <w:t>. A bejelentési eljárással érintett reklámhordozók köre</w:t>
      </w:r>
    </w:p>
    <w:p w:rsidR="00F332B8" w:rsidRPr="007923EA" w:rsidRDefault="00F332B8" w:rsidP="00F332B8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folytat le a polgármester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közterületről vagy közforgalom céljára átadott magánterületről vagy közforgalom által használt területről látható – reklám, reklámhordozó, </w:t>
      </w:r>
      <w:r>
        <w:rPr>
          <w:rFonts w:ascii="Times New Roman" w:hAnsi="Times New Roman" w:cs="Times New Roman"/>
          <w:sz w:val="24"/>
          <w:szCs w:val="24"/>
          <w:lang w:eastAsia="hu-HU"/>
        </w:rPr>
        <w:t>cégismertető felirat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elhelyezése esetén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23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.§</w:t>
      </w:r>
      <w:r w:rsidRPr="00C3133B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Pr="00C3133B">
        <w:rPr>
          <w:rFonts w:ascii="Times New Roman" w:hAnsi="Times New Roman" w:cs="Times New Roman"/>
          <w:sz w:val="24"/>
          <w:szCs w:val="24"/>
        </w:rPr>
        <w:t>A településképi bejelentési eljárás</w:t>
      </w:r>
      <w:r>
        <w:rPr>
          <w:rFonts w:ascii="Times New Roman" w:hAnsi="Times New Roman" w:cs="Times New Roman"/>
          <w:sz w:val="24"/>
          <w:szCs w:val="24"/>
        </w:rPr>
        <w:t xml:space="preserve">ban a polgármester települési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szakmai közreműködését veheti igénybe.</w:t>
      </w:r>
    </w:p>
    <w:p w:rsidR="00F332B8" w:rsidRPr="007923EA" w:rsidRDefault="00F332B8" w:rsidP="00F332B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332B8" w:rsidRPr="007923EA" w:rsidRDefault="00F332B8" w:rsidP="00F332B8">
      <w:pPr>
        <w:pStyle w:val="Style1"/>
        <w:kinsoku w:val="0"/>
        <w:autoSpaceDE/>
        <w:autoSpaceDN/>
        <w:adjustRightInd/>
        <w:spacing w:line="228" w:lineRule="auto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(2) A településképi bejelentési eljárás lefolytatása és az építészeti-műszaki dokumentáció értékelése során a településképben esztétikusan megjelenő, településképet nem zavaró, az épített és természeti környezethez illeszkedő, és annak előnyösebb megjelenését segítő megoldási szempontokat kell érvényesíteni.</w:t>
      </w:r>
    </w:p>
    <w:p w:rsidR="00F332B8" w:rsidRPr="007923EA" w:rsidRDefault="00F332B8" w:rsidP="00F332B8">
      <w:pPr>
        <w:pStyle w:val="Style1"/>
        <w:kinsoku w:val="0"/>
        <w:autoSpaceDE/>
        <w:autoSpaceDN/>
        <w:adjustRightInd/>
        <w:spacing w:before="252"/>
        <w:ind w:left="-426" w:firstLine="426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(3) Részletes vizsgálati szempontok:</w:t>
      </w:r>
    </w:p>
    <w:p w:rsidR="00F332B8" w:rsidRPr="007923EA" w:rsidRDefault="00F332B8" w:rsidP="00F332B8">
      <w:pPr>
        <w:pStyle w:val="Style2"/>
        <w:tabs>
          <w:tab w:val="left" w:pos="1560"/>
        </w:tabs>
        <w:kinsoku w:val="0"/>
        <w:autoSpaceDE/>
        <w:autoSpaceDN/>
        <w:spacing w:line="230" w:lineRule="auto"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1"/>
          <w:rFonts w:ascii="Times New Roman" w:hAnsi="Times New Roman" w:cs="Times New Roman"/>
          <w:sz w:val="24"/>
          <w:szCs w:val="24"/>
        </w:rPr>
        <w:t>a)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1"/>
          <w:rFonts w:ascii="Times New Roman" w:hAnsi="Times New Roman" w:cs="Times New Roman"/>
          <w:sz w:val="24"/>
          <w:szCs w:val="24"/>
        </w:rPr>
        <w:t>nem zavarja-e a környezetében levő épületek, építmények, utcák, terek, használhatóságát,</w:t>
      </w:r>
    </w:p>
    <w:p w:rsidR="00F332B8" w:rsidRPr="007923EA" w:rsidRDefault="00F332B8" w:rsidP="00F332B8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b)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nem okoz-e esztétikai és </w:t>
      </w:r>
      <w:proofErr w:type="spellStart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</w:t>
      </w:r>
    </w:p>
    <w:p w:rsidR="00F332B8" w:rsidRPr="007923EA" w:rsidRDefault="00F332B8" w:rsidP="00F332B8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c) </w:t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az épület, kerítés homlokzati architektúrájához illeszkedik e.</w:t>
      </w:r>
    </w:p>
    <w:p w:rsidR="00F332B8" w:rsidRDefault="00F332B8" w:rsidP="00F332B8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Pr="00C3133B">
        <w:rPr>
          <w:b/>
          <w:bCs/>
          <w:sz w:val="24"/>
          <w:szCs w:val="24"/>
        </w:rPr>
        <w:t>.§</w:t>
      </w:r>
      <w:r w:rsidRPr="00C3133B">
        <w:rPr>
          <w:sz w:val="24"/>
          <w:szCs w:val="24"/>
        </w:rPr>
        <w:t xml:space="preserve"> </w:t>
      </w:r>
      <w:r w:rsidRPr="00C3133B">
        <w:rPr>
          <w:rStyle w:val="CharacterStyle2"/>
          <w:sz w:val="24"/>
          <w:szCs w:val="24"/>
        </w:rPr>
        <w:t xml:space="preserve">A településképi bejelentési eljáráshoz csatolni kell a reklámnak, reklámhordozónak, </w:t>
      </w:r>
      <w:r>
        <w:rPr>
          <w:rStyle w:val="CharacterStyle2"/>
          <w:sz w:val="24"/>
          <w:szCs w:val="24"/>
        </w:rPr>
        <w:t>cégismertető felirat</w:t>
      </w:r>
      <w:r w:rsidRPr="007923EA">
        <w:rPr>
          <w:rStyle w:val="CharacterStyle2"/>
          <w:sz w:val="24"/>
          <w:szCs w:val="24"/>
        </w:rPr>
        <w:t>nak a</w:t>
      </w:r>
      <w:r>
        <w:rPr>
          <w:rStyle w:val="CharacterStyle2"/>
          <w:sz w:val="24"/>
          <w:szCs w:val="24"/>
        </w:rPr>
        <w:t xml:space="preserve">z előző § </w:t>
      </w:r>
      <w:r w:rsidRPr="007923EA">
        <w:rPr>
          <w:rStyle w:val="CharacterStyle2"/>
          <w:sz w:val="24"/>
          <w:szCs w:val="24"/>
        </w:rPr>
        <w:t>(3) bekezdés szerinti vizsgálatot lehetővé tevő műszaki leírás</w:t>
      </w:r>
      <w:r>
        <w:rPr>
          <w:rStyle w:val="CharacterStyle2"/>
          <w:sz w:val="24"/>
          <w:szCs w:val="24"/>
        </w:rPr>
        <w:t>á</w:t>
      </w:r>
      <w:r w:rsidRPr="007923EA">
        <w:rPr>
          <w:rStyle w:val="CharacterStyle2"/>
          <w:sz w:val="24"/>
          <w:szCs w:val="24"/>
        </w:rPr>
        <w:t xml:space="preserve">t és látványtervét. </w:t>
      </w:r>
    </w:p>
    <w:p w:rsidR="00F332B8" w:rsidRPr="007923EA" w:rsidRDefault="00F332B8" w:rsidP="00F332B8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332B8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F332B8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</w:rPr>
        <w:t>(1)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Pr="007923EA">
        <w:rPr>
          <w:rFonts w:ascii="Times New Roman" w:hAnsi="Times New Roman" w:cs="Times New Roman"/>
          <w:sz w:val="24"/>
          <w:szCs w:val="24"/>
        </w:rPr>
        <w:t xml:space="preserve">érdekében - a </w:t>
      </w:r>
      <w:r>
        <w:rPr>
          <w:rFonts w:ascii="Times New Roman" w:hAnsi="Times New Roman" w:cs="Times New Roman"/>
          <w:sz w:val="24"/>
          <w:szCs w:val="24"/>
        </w:rPr>
        <w:t>hatályos eljárási törvény alapján</w:t>
      </w:r>
      <w:r w:rsidRPr="007923EA">
        <w:rPr>
          <w:rFonts w:ascii="Times New Roman" w:hAnsi="Times New Roman" w:cs="Times New Roman"/>
          <w:sz w:val="24"/>
          <w:szCs w:val="24"/>
        </w:rPr>
        <w:t xml:space="preserve"> – kötelezési eljárást folytat le és szükség esetén kötelezést bocsát ki.</w:t>
      </w:r>
    </w:p>
    <w:p w:rsidR="00F332B8" w:rsidRPr="007923EA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Pr="00F049BE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049B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(2) A kötelezési eljárást le kell folytatni, ha az építési tevékenységgel összefüggésben megtartott szakmai </w:t>
      </w:r>
      <w:proofErr w:type="gramStart"/>
      <w:r w:rsidRPr="00F049BE">
        <w:rPr>
          <w:rFonts w:ascii="Times New Roman" w:hAnsi="Times New Roman" w:cs="Times New Roman"/>
          <w:strike/>
          <w:color w:val="FF0000"/>
          <w:sz w:val="24"/>
          <w:szCs w:val="24"/>
        </w:rPr>
        <w:t>konzultáció</w:t>
      </w:r>
      <w:proofErr w:type="gramEnd"/>
      <w:r w:rsidRPr="00F049B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eredményeképpen kiadott emlékeztetőben érintett településképi követelmények megszegésre kerülnek.</w:t>
      </w:r>
    </w:p>
    <w:p w:rsidR="00F049BE" w:rsidRPr="00534D30" w:rsidRDefault="00F049BE" w:rsidP="00F049B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4D30">
        <w:rPr>
          <w:rFonts w:ascii="Times New Roman" w:hAnsi="Times New Roman"/>
          <w:color w:val="00B0F0"/>
          <w:sz w:val="24"/>
          <w:szCs w:val="24"/>
        </w:rPr>
        <w:t>Hatályát v</w:t>
      </w:r>
      <w:r>
        <w:rPr>
          <w:rFonts w:ascii="Times New Roman" w:hAnsi="Times New Roman"/>
          <w:color w:val="00B0F0"/>
          <w:sz w:val="24"/>
          <w:szCs w:val="24"/>
        </w:rPr>
        <w:t>eszti a törvényességi felhívás 8</w:t>
      </w:r>
      <w:r w:rsidRPr="00534D30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F332B8" w:rsidRPr="007923EA" w:rsidRDefault="00F049BE" w:rsidP="00F049BE"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32B8" w:rsidRPr="007923EA" w:rsidRDefault="00F332B8" w:rsidP="00F3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(3) A kötelezési eljárás lefolytatható hivatalból, vagy kérelemre. </w:t>
      </w:r>
    </w:p>
    <w:p w:rsidR="00F332B8" w:rsidRPr="007923EA" w:rsidRDefault="00F332B8" w:rsidP="00F33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(4) Kötelezési eljárást kezdeményező kérelem az önkormányzatnál írásban nyújtható be, és a kérelemben meg kell jelölni, hogy a rendelet mely szakaszában foglalt településképi követelmény nem teljesülése miatt történik a kezdeményezés.</w:t>
      </w:r>
    </w:p>
    <w:p w:rsidR="00F332B8" w:rsidRDefault="00F332B8" w:rsidP="00F33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Default="00F332B8" w:rsidP="00F332B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polgármester a tényállás tisztázása során köteles beszerezni a települési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szakmai állás</w:t>
      </w:r>
      <w:r w:rsidR="00723C22">
        <w:rPr>
          <w:rFonts w:ascii="Times New Roman" w:hAnsi="Times New Roman" w:cs="Times New Roman"/>
          <w:sz w:val="24"/>
          <w:szCs w:val="24"/>
        </w:rPr>
        <w:t>pontját</w:t>
      </w:r>
      <w:r w:rsidRPr="007923EA">
        <w:rPr>
          <w:rFonts w:ascii="Times New Roman" w:hAnsi="Times New Roman" w:cs="Times New Roman"/>
          <w:sz w:val="24"/>
          <w:szCs w:val="24"/>
        </w:rPr>
        <w:t>.</w:t>
      </w:r>
    </w:p>
    <w:p w:rsidR="00F332B8" w:rsidRPr="007923EA" w:rsidRDefault="00F332B8" w:rsidP="00F332B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2B8" w:rsidRDefault="00F332B8" w:rsidP="00F332B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F332B8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49BE">
        <w:rPr>
          <w:rFonts w:ascii="Times New Roman" w:hAnsi="Times New Roman" w:cs="Times New Roman"/>
          <w:b/>
          <w:sz w:val="24"/>
          <w:szCs w:val="24"/>
        </w:rPr>
        <w:t>A településkép</w:t>
      </w:r>
      <w:r w:rsidR="00F049BE" w:rsidRPr="00801CA2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i</w:t>
      </w:r>
      <w:r w:rsidR="00F049BE">
        <w:rPr>
          <w:rFonts w:ascii="Times New Roman" w:hAnsi="Times New Roman" w:cs="Times New Roman"/>
          <w:b/>
          <w:color w:val="FF0000"/>
          <w:sz w:val="24"/>
          <w:szCs w:val="24"/>
        </w:rPr>
        <w:t>-védelmi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 xml:space="preserve"> bírság kiszabásának esetkörei és mértéke</w:t>
      </w:r>
    </w:p>
    <w:p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23EA">
        <w:rPr>
          <w:rFonts w:ascii="Times New Roman" w:hAnsi="Times New Roman" w:cs="Times New Roman"/>
          <w:sz w:val="24"/>
          <w:szCs w:val="24"/>
        </w:rPr>
        <w:t>) A polgármester településkép</w:t>
      </w:r>
      <w:r w:rsidR="00F049B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F049B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bírságot szab ki azzal szemben, aki a </w:t>
      </w:r>
      <w:proofErr w:type="gramStart"/>
      <w:r w:rsidRPr="007923EA">
        <w:rPr>
          <w:rFonts w:ascii="Times New Roman" w:hAnsi="Times New Roman" w:cs="Times New Roman"/>
          <w:sz w:val="24"/>
          <w:szCs w:val="24"/>
        </w:rPr>
        <w:t>lefolytatott  településképi</w:t>
      </w:r>
      <w:proofErr w:type="gramEnd"/>
      <w:r w:rsidRPr="007923EA">
        <w:rPr>
          <w:rFonts w:ascii="Times New Roman" w:hAnsi="Times New Roman" w:cs="Times New Roman"/>
          <w:sz w:val="24"/>
          <w:szCs w:val="24"/>
        </w:rPr>
        <w:t xml:space="preserve"> kötelezési eljárás során kiadott településképi kötelezést tartalmazó jogerős határozatban foglalt kötelezettségét nem teljesíti.</w:t>
      </w:r>
    </w:p>
    <w:p w:rsidR="00F332B8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7923EA">
        <w:rPr>
          <w:rFonts w:ascii="Times New Roman" w:hAnsi="Times New Roman" w:cs="Times New Roman"/>
          <w:sz w:val="24"/>
          <w:szCs w:val="24"/>
        </w:rPr>
        <w:t>) A településkép</w:t>
      </w:r>
      <w:r w:rsidR="00F049B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F049B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</w:t>
      </w:r>
      <w:r>
        <w:rPr>
          <w:rFonts w:ascii="Times New Roman" w:hAnsi="Times New Roman" w:cs="Times New Roman"/>
          <w:sz w:val="24"/>
          <w:szCs w:val="24"/>
        </w:rPr>
        <w:t>10 000 Ft és</w:t>
      </w:r>
      <w:r w:rsidRPr="007923EA">
        <w:rPr>
          <w:rFonts w:ascii="Times New Roman" w:hAnsi="Times New Roman" w:cs="Times New Roman"/>
          <w:sz w:val="24"/>
          <w:szCs w:val="24"/>
        </w:rPr>
        <w:t xml:space="preserve"> 1 000 000,-Ft</w:t>
      </w:r>
      <w:r>
        <w:rPr>
          <w:rFonts w:ascii="Times New Roman" w:hAnsi="Times New Roman" w:cs="Times New Roman"/>
          <w:sz w:val="24"/>
          <w:szCs w:val="24"/>
        </w:rPr>
        <w:t xml:space="preserve"> közötti lehet</w:t>
      </w:r>
      <w:r w:rsidRPr="007923EA">
        <w:rPr>
          <w:rFonts w:ascii="Times New Roman" w:hAnsi="Times New Roman" w:cs="Times New Roman"/>
          <w:sz w:val="24"/>
          <w:szCs w:val="24"/>
        </w:rPr>
        <w:t>. A településkép</w:t>
      </w:r>
      <w:r w:rsidR="00F049B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F049B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a jogsértő állapot előírt határidőn belüli megszüntetésének elmulasztása miatt ismételten is kiszabható.</w:t>
      </w:r>
    </w:p>
    <w:p w:rsidR="0001779A" w:rsidRPr="007923EA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7923EA">
        <w:rPr>
          <w:rFonts w:ascii="Times New Roman" w:hAnsi="Times New Roman" w:cs="Times New Roman"/>
          <w:sz w:val="24"/>
          <w:szCs w:val="24"/>
        </w:rPr>
        <w:t>) A településkép</w:t>
      </w:r>
      <w:r w:rsidR="00F049B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F049B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kiszabásakor a polgármester mérlegeli a jogsértő magatartás súlyát, különösen a településkép védelméhez fűződő érdek sérelmének mértékét, a jogsértés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ismételtségét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, időtartamát. A polgármester a bírság kiszabása során köteles beszerezni a települési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szakmai állás</w:t>
      </w:r>
      <w:r w:rsidR="00723C22">
        <w:rPr>
          <w:rFonts w:ascii="Times New Roman" w:hAnsi="Times New Roman" w:cs="Times New Roman"/>
          <w:sz w:val="24"/>
          <w:szCs w:val="24"/>
        </w:rPr>
        <w:t>pontj</w:t>
      </w:r>
      <w:r w:rsidRPr="007923EA">
        <w:rPr>
          <w:rFonts w:ascii="Times New Roman" w:hAnsi="Times New Roman" w:cs="Times New Roman"/>
          <w:sz w:val="24"/>
          <w:szCs w:val="24"/>
        </w:rPr>
        <w:t>át a településkép védelméhez fűződő érdeksérelem mértékének megállapítása érdekében.</w:t>
      </w:r>
    </w:p>
    <w:p w:rsidR="00F332B8" w:rsidRDefault="00F332B8" w:rsidP="00F332B8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 befolyt településkép</w:t>
      </w:r>
      <w:r w:rsidR="00F049B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F049B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bírságot az önkormányzat költségvetésében elkülönítetten kezeli. A befolyt bírság összege kizárólag </w:t>
      </w:r>
      <w:r w:rsidR="0001779A" w:rsidRPr="007923EA">
        <w:rPr>
          <w:rFonts w:ascii="Times New Roman" w:eastAsia="Times New Roman" w:hAnsi="Times New Roman" w:cs="Times New Roman"/>
          <w:sz w:val="24"/>
          <w:szCs w:val="24"/>
        </w:rPr>
        <w:t>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</w:t>
      </w:r>
      <w:r w:rsidR="000177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23EA">
        <w:rPr>
          <w:rFonts w:ascii="Times New Roman" w:hAnsi="Times New Roman" w:cs="Times New Roman"/>
          <w:sz w:val="24"/>
          <w:szCs w:val="24"/>
        </w:rPr>
        <w:t xml:space="preserve"> A Képviselő-testület évente a költségvetési rendelet megalkotásával egyidejűleg dönt az előző évben befolyt településkép</w:t>
      </w:r>
      <w:r w:rsidR="00F049BE" w:rsidRPr="00CB139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F049BE" w:rsidRPr="00CB1398">
        <w:rPr>
          <w:rFonts w:ascii="Times New Roman" w:hAnsi="Times New Roman" w:cs="Times New Roman"/>
          <w:color w:val="FF0000"/>
          <w:sz w:val="24"/>
          <w:szCs w:val="24"/>
        </w:rPr>
        <w:t>-védelmi</w:t>
      </w:r>
      <w:r w:rsidRPr="007923EA">
        <w:rPr>
          <w:rFonts w:ascii="Times New Roman" w:hAnsi="Times New Roman" w:cs="Times New Roman"/>
          <w:sz w:val="24"/>
          <w:szCs w:val="24"/>
        </w:rPr>
        <w:t xml:space="preserve"> bírság felhasználásáról. </w:t>
      </w:r>
    </w:p>
    <w:p w:rsidR="00F049BE" w:rsidRPr="005C73EF" w:rsidRDefault="00F049BE" w:rsidP="00F049BE">
      <w:pPr>
        <w:tabs>
          <w:tab w:val="left" w:pos="6430"/>
        </w:tabs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0E372A">
        <w:rPr>
          <w:rFonts w:ascii="Times New Roman" w:hAnsi="Times New Roman"/>
          <w:color w:val="00B0F0"/>
          <w:sz w:val="24"/>
          <w:szCs w:val="24"/>
        </w:rPr>
        <w:t>Módo</w:t>
      </w:r>
      <w:r>
        <w:rPr>
          <w:rFonts w:ascii="Times New Roman" w:hAnsi="Times New Roman"/>
          <w:color w:val="00B0F0"/>
          <w:sz w:val="24"/>
          <w:szCs w:val="24"/>
        </w:rPr>
        <w:t>sítva a törvényességi felhívás 9</w:t>
      </w:r>
      <w:r w:rsidRPr="000E372A">
        <w:rPr>
          <w:rFonts w:ascii="Times New Roman" w:hAnsi="Times New Roman"/>
          <w:color w:val="00B0F0"/>
          <w:sz w:val="24"/>
          <w:szCs w:val="24"/>
        </w:rPr>
        <w:t>. pontja alapján.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332B8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F332B8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3A3D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32B8">
        <w:rPr>
          <w:rFonts w:ascii="Times New Roman" w:hAnsi="Times New Roman" w:cs="Times New Roman"/>
          <w:b/>
          <w:sz w:val="24"/>
          <w:szCs w:val="24"/>
        </w:rPr>
        <w:t>7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7384" w:rsidRPr="007923EA" w:rsidRDefault="00B005C1" w:rsidP="00F57384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F5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Tatai László</w:t>
      </w:r>
      <w:r w:rsidR="00F57384"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F57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F57384" w:rsidRPr="00C3133B" w:rsidRDefault="00F57384" w:rsidP="00F57384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F57384" w:rsidRDefault="00F57384" w:rsidP="00F57384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937B1" w:rsidRDefault="008937B1" w:rsidP="00F57384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937B1" w:rsidRPr="007923EA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8937B1" w:rsidRPr="00A57EBF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t kihirdetésének napja: 2017. december</w:t>
      </w:r>
    </w:p>
    <w:p w:rsidR="008937B1" w:rsidRDefault="008937B1" w:rsidP="008937B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8937B1" w:rsidRDefault="008937B1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Default="00F57384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Default="00F57384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Default="00F57384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Default="00F57384" w:rsidP="003709A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Pr="00766B27" w:rsidRDefault="00F57384" w:rsidP="00F57384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F57384" w:rsidRPr="00766B27" w:rsidRDefault="00F57384" w:rsidP="00F57384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384" w:rsidRDefault="00F57384" w:rsidP="00F57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0C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3"/>
        <w:gridCol w:w="2976"/>
      </w:tblGrid>
      <w:tr w:rsidR="00F57384" w:rsidRPr="00C12B5C" w:rsidTr="00A73C56">
        <w:tc>
          <w:tcPr>
            <w:tcW w:w="921" w:type="dxa"/>
          </w:tcPr>
          <w:p w:rsidR="00F57384" w:rsidRPr="00C12B5C" w:rsidRDefault="00F57384" w:rsidP="00A73C5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57384" w:rsidRPr="00C12B5C" w:rsidRDefault="00F57384" w:rsidP="00A73C5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Alsógörzsöny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Kossuth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L.u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Hrsz:30/2</w:t>
            </w:r>
          </w:p>
        </w:tc>
        <w:tc>
          <w:tcPr>
            <w:tcW w:w="2976" w:type="dxa"/>
            <w:vAlign w:val="center"/>
          </w:tcPr>
          <w:p w:rsidR="00F57384" w:rsidRPr="00C12B5C" w:rsidRDefault="00F57384" w:rsidP="00A73C5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Református templom</w:t>
            </w:r>
          </w:p>
        </w:tc>
      </w:tr>
      <w:tr w:rsidR="00F57384" w:rsidRPr="00C12B5C" w:rsidTr="00A73C56">
        <w:tc>
          <w:tcPr>
            <w:tcW w:w="921" w:type="dxa"/>
          </w:tcPr>
          <w:p w:rsidR="00F57384" w:rsidRPr="00C12B5C" w:rsidRDefault="00F57384" w:rsidP="00A73C5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57384" w:rsidRPr="00C12B5C" w:rsidRDefault="00F57384" w:rsidP="00A73C5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Felsőgörzsöny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Rózsa F. u. 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2976" w:type="dxa"/>
            <w:vAlign w:val="center"/>
          </w:tcPr>
          <w:p w:rsidR="00F57384" w:rsidRPr="00C12B5C" w:rsidRDefault="00F57384" w:rsidP="00A73C5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Református templom</w:t>
            </w:r>
          </w:p>
        </w:tc>
      </w:tr>
    </w:tbl>
    <w:p w:rsidR="00F57384" w:rsidRDefault="00F57384" w:rsidP="00F5738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Pr="007411CE" w:rsidRDefault="00F57384" w:rsidP="00F57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F57384" w:rsidRDefault="00F57384" w:rsidP="00F57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384" w:rsidRPr="00E74DCA" w:rsidRDefault="00F57384" w:rsidP="00F57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Koros fűz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Salix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alba) a Széchenyi utcai közparkban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Farkasdy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család kriptája és az előterében lévő idős puszpáng bokrok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Buxus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sempervirens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 a déli temetőben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XIX. századi sírkövek a déli temetőben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puszpáng bokrok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Buxus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sempervirens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 az északi temetőben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Koros platán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Platanus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hisp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.) és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kislevelű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hárs (Tilia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cordata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 a református templom előkertjében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kőrisfa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Fraxinus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angustifolia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 a református templom hátsó kertjében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lastRenderedPageBreak/>
        <w:t>Koros diófák a református templom oldalkertjében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Junglans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regia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Kopjafák a református templom előkertjében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Harangláb a református templom oldalkertjében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Emléktábla a templom falán (1883,  II. Világháborús hősök emlékére)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Pumpás kút a Táncsics Mihály utca sarkán, három diófával (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Junglans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regia</w:t>
      </w:r>
      <w:proofErr w:type="spellEnd"/>
      <w:r>
        <w:rPr>
          <w:rFonts w:ascii="Times New Roman" w:hAnsi="Times New Roman" w:cs="Times New Roman"/>
          <w:spacing w:val="-20"/>
          <w:sz w:val="24"/>
          <w:szCs w:val="24"/>
        </w:rPr>
        <w:t>)</w:t>
      </w:r>
    </w:p>
    <w:p w:rsidR="00F57384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 Kossuth Lajos utcában, a büfével szemben és a Dózsa György utca sarkán</w:t>
      </w:r>
    </w:p>
    <w:p w:rsidR="00F57384" w:rsidRPr="00C12B5C" w:rsidRDefault="00F57384" w:rsidP="00F57384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Kút a településközpontban a buszváró mellett</w:t>
      </w:r>
    </w:p>
    <w:p w:rsidR="00F57384" w:rsidRDefault="00F57384" w:rsidP="00F57384"/>
    <w:p w:rsidR="00F57384" w:rsidRDefault="00F5738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F57384" w:rsidRDefault="00E11150" w:rsidP="00F57384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3.</w:t>
      </w:r>
      <w:r w:rsidR="00F5738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F57384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 w:rsidR="00F5738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F57384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F57384"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="00F57384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F5738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F57384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F57384" w:rsidRDefault="00F57384" w:rsidP="00F57384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Pr="00766B27" w:rsidRDefault="00F57384" w:rsidP="00F57384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F57384" w:rsidRDefault="00F57384" w:rsidP="00F5738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Default="00F57384" w:rsidP="00F5738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Default="00F57384" w:rsidP="00F5738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57384" w:rsidRPr="008937B1" w:rsidRDefault="00F57384" w:rsidP="00F57384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F69CDE3" wp14:editId="590C5E45">
            <wp:extent cx="5760720" cy="34975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rké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384" w:rsidRPr="008937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59" w:rsidRDefault="00876E59" w:rsidP="00EC442C">
      <w:pPr>
        <w:spacing w:after="0" w:line="240" w:lineRule="auto"/>
      </w:pPr>
      <w:r>
        <w:separator/>
      </w:r>
    </w:p>
  </w:endnote>
  <w:endnote w:type="continuationSeparator" w:id="0">
    <w:p w:rsidR="00876E59" w:rsidRDefault="00876E59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59" w:rsidRDefault="00876E59" w:rsidP="00EC442C">
      <w:pPr>
        <w:spacing w:after="0" w:line="240" w:lineRule="auto"/>
      </w:pPr>
      <w:r>
        <w:separator/>
      </w:r>
    </w:p>
  </w:footnote>
  <w:footnote w:type="continuationSeparator" w:id="0">
    <w:p w:rsidR="00876E59" w:rsidRDefault="00876E59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7721"/>
      <w:docPartObj>
        <w:docPartGallery w:val="Page Numbers (Top of Page)"/>
        <w:docPartUnique/>
      </w:docPartObj>
    </w:sdtPr>
    <w:sdtEndPr/>
    <w:sdtContent>
      <w:p w:rsidR="00272D1D" w:rsidRDefault="00272D1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9BE">
          <w:rPr>
            <w:noProof/>
          </w:rPr>
          <w:t>14</w:t>
        </w:r>
        <w:r>
          <w:fldChar w:fldCharType="end"/>
        </w:r>
      </w:p>
    </w:sdtContent>
  </w:sdt>
  <w:p w:rsidR="00272D1D" w:rsidRDefault="00272D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6" w15:restartNumberingAfterBreak="0">
    <w:nsid w:val="2E9136C8"/>
    <w:multiLevelType w:val="multilevel"/>
    <w:tmpl w:val="EFD2F50C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43F84C8E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599A428F"/>
    <w:multiLevelType w:val="hybridMultilevel"/>
    <w:tmpl w:val="557CFD9A"/>
    <w:lvl w:ilvl="0" w:tplc="84BA4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3"/>
        <w:szCs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18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5BD8"/>
    <w:rsid w:val="00015DD3"/>
    <w:rsid w:val="0001679E"/>
    <w:rsid w:val="0001779A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C79B2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5A2"/>
    <w:rsid w:val="001F760E"/>
    <w:rsid w:val="00200E3C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2D1D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0B6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D022D"/>
    <w:rsid w:val="003D0378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28AE"/>
    <w:rsid w:val="00422E0C"/>
    <w:rsid w:val="0042672D"/>
    <w:rsid w:val="00426FDA"/>
    <w:rsid w:val="00436994"/>
    <w:rsid w:val="00436C6A"/>
    <w:rsid w:val="004419DB"/>
    <w:rsid w:val="00441BA0"/>
    <w:rsid w:val="00441C01"/>
    <w:rsid w:val="00441DDB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3B1E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4A39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522"/>
    <w:rsid w:val="005D3C8C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3E2B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5C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3C22"/>
    <w:rsid w:val="00725F4E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4372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2DE1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76E59"/>
    <w:rsid w:val="00877C52"/>
    <w:rsid w:val="00881671"/>
    <w:rsid w:val="0088327B"/>
    <w:rsid w:val="00883C2C"/>
    <w:rsid w:val="0088405D"/>
    <w:rsid w:val="00884910"/>
    <w:rsid w:val="00890502"/>
    <w:rsid w:val="00890C81"/>
    <w:rsid w:val="008920E7"/>
    <w:rsid w:val="008937B1"/>
    <w:rsid w:val="00894D71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5C9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168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62E7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13B6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26342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552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4267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33D2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1150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F03065"/>
    <w:rsid w:val="00F049BE"/>
    <w:rsid w:val="00F064DE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2B8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57384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5109C4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11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4E57-15AA-4999-A2E3-B49F9AB6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3746</Words>
  <Characters>25850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Németh Kristóf</cp:lastModifiedBy>
  <cp:revision>9</cp:revision>
  <cp:lastPrinted>2017-07-25T11:04:00Z</cp:lastPrinted>
  <dcterms:created xsi:type="dcterms:W3CDTF">2017-12-17T12:47:00Z</dcterms:created>
  <dcterms:modified xsi:type="dcterms:W3CDTF">2019-07-01T16:30:00Z</dcterms:modified>
</cp:coreProperties>
</file>